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1F" w:rsidRDefault="00AB669E" w:rsidP="00EE62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1F" w:rsidRDefault="00EE621F" w:rsidP="00EE621F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EE621F" w:rsidRDefault="00EE621F" w:rsidP="00EE621F">
      <w:pPr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E621F" w:rsidRDefault="00EE621F" w:rsidP="00EE621F">
      <w:pPr>
        <w:jc w:val="center"/>
        <w:rPr>
          <w:rFonts w:ascii="Times New Roman" w:hAnsi="Times New Roman"/>
          <w:b/>
          <w:sz w:val="16"/>
          <w:szCs w:val="16"/>
        </w:rPr>
      </w:pPr>
    </w:p>
    <w:p w:rsidR="00EE621F" w:rsidRDefault="00EE621F" w:rsidP="00EE621F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31.01.2022 г.                               с. Надеждинка                                  № 6-п</w:t>
      </w:r>
    </w:p>
    <w:p w:rsidR="00EE621F" w:rsidRDefault="00EE621F" w:rsidP="00EE621F">
      <w:pPr>
        <w:pStyle w:val="ConsPlusNormal0"/>
        <w:jc w:val="both"/>
        <w:rPr>
          <w:rFonts w:ascii="Calibri" w:hAnsi="Calibri"/>
          <w:szCs w:val="20"/>
        </w:rPr>
      </w:pPr>
    </w:p>
    <w:p w:rsidR="00EE621F" w:rsidRDefault="00EE621F" w:rsidP="00EE621F">
      <w:pPr>
        <w:pStyle w:val="ConsPlusNormal0"/>
        <w:jc w:val="both"/>
      </w:pPr>
    </w:p>
    <w:p w:rsidR="00EE621F" w:rsidRDefault="00EE621F" w:rsidP="00EE621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муниципального образования Надеждинский  сельсовет Саракташского района</w:t>
      </w:r>
    </w:p>
    <w:p w:rsidR="00EE621F" w:rsidRDefault="00EE621F" w:rsidP="00EE62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160.1, пунктом 4 статьи 160.2 Бюджетного кодекса Российской Федерации</w:t>
      </w:r>
    </w:p>
    <w:p w:rsidR="00EE621F" w:rsidRDefault="00EE621F" w:rsidP="00EE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перечень главных администраторов доходов бюджета муниципального образования Надеждинский сельсовет Саракташского района согласно Приложению №1 к настоящему постановлению. </w:t>
      </w:r>
    </w:p>
    <w:p w:rsidR="00EE621F" w:rsidRDefault="00EE621F" w:rsidP="00EE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Надеждинский сельсовет Саракташского района согласно Приложению № 2 к настоящему постановлению. </w:t>
      </w:r>
    </w:p>
    <w:p w:rsidR="00EE621F" w:rsidRDefault="00EE621F" w:rsidP="00EE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EE621F" w:rsidRDefault="00EE621F" w:rsidP="00EE6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 и применяется к правоотношениям, возникающим при составлении и исполнении районного бюджета, начиная с местного бюджета на 2022 год и на плановый период 2023 и 2024 годов и подлежит размещению на официальном сайте администрации Надеждински</w:t>
      </w:r>
      <w:r>
        <w:rPr>
          <w:rFonts w:ascii="Times New Roman" w:hAnsi="Times New Roman"/>
          <w:color w:val="000000"/>
          <w:sz w:val="28"/>
          <w:szCs w:val="28"/>
        </w:rPr>
        <w:t>й сельсовет Саракташского района.</w:t>
      </w:r>
    </w:p>
    <w:p w:rsidR="00EE621F" w:rsidRDefault="00EE621F" w:rsidP="00EE621F">
      <w:pPr>
        <w:spacing w:after="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E621F" w:rsidRDefault="00EE621F" w:rsidP="00EE621F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E621F" w:rsidRDefault="00EE621F" w:rsidP="00EE621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администрации МО</w:t>
      </w:r>
    </w:p>
    <w:p w:rsidR="00EE621F" w:rsidRDefault="00EE621F" w:rsidP="00EE621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Надеждинский сельсовет                                                                     О.А.Тимко</w:t>
      </w:r>
    </w:p>
    <w:p w:rsidR="00EE621F" w:rsidRDefault="00EE621F" w:rsidP="00EE621F">
      <w:pPr>
        <w:tabs>
          <w:tab w:val="left" w:pos="111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E621F" w:rsidRDefault="00EE621F" w:rsidP="00EE621F">
      <w:pPr>
        <w:tabs>
          <w:tab w:val="left" w:pos="111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p w:rsidR="00EE621F" w:rsidRDefault="00EE621F" w:rsidP="00EE621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E621F" w:rsidRDefault="00EE621F" w:rsidP="00EE621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  </w:t>
      </w:r>
    </w:p>
    <w:p w:rsidR="00EE621F" w:rsidRDefault="00EE621F" w:rsidP="00EE621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Надеждинский сельсовет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31.01.2022 г. № 6-п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E621F" w:rsidRDefault="00EE621F" w:rsidP="00EE621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E621F" w:rsidRDefault="00EE621F" w:rsidP="00EE62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Надеждинский сельсовет Саракташского района</w:t>
      </w:r>
    </w:p>
    <w:p w:rsidR="00EE621F" w:rsidRDefault="00EE621F" w:rsidP="00EE62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18"/>
        <w:gridCol w:w="2904"/>
        <w:gridCol w:w="18"/>
        <w:gridCol w:w="5827"/>
      </w:tblGrid>
      <w:tr w:rsidR="00EE621F" w:rsidTr="00EE62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КВСР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EE621F" w:rsidTr="00EE621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Надеждинский сельсовет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1 17 15030 10 0002 150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поселений на выравнивание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обеспеченности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2 02 20216 10 0000 150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2 02 49999 10 0000 150 </w:t>
            </w:r>
          </w:p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2 04 05099 10 0000 150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2 07 05030 10 0000 180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21F" w:rsidTr="00EE621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  <w:jc w:val="center"/>
            </w:pPr>
            <w:r>
              <w:rPr>
                <w:b/>
                <w:bCs/>
              </w:rPr>
              <w:t>Федеральная налоговая служба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1 01 02 010 01 1000 110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>
              <w:lastRenderedPageBreak/>
              <w:t xml:space="preserve">соответствующему платежу, в том числе по отмененному)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lastRenderedPageBreak/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1 01 02 010 01 2100 110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1 01 02 010 01 3000 110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1 01 02 020 01 1000 110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1 01 02 020 01 2100 110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1 01 02 030 01 1000 110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1 01 02 030 01 2100 110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1 01 02 030 01 3000 110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</w:t>
            </w:r>
            <w:r>
              <w:lastRenderedPageBreak/>
              <w:t xml:space="preserve">по соответствующему платежу согласно законодательству Российской Федерации)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lastRenderedPageBreak/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1 05 01 011 01 1000 110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1 05 01 011 01 2100 110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1 05 01 021 01 1000 110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1 05 01 021 01 2100 110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1 05 02 010 02 0000 110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Единый налог на вмененный доход для отдельных видов деятельности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1 05 02 010 02 1000 110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1 05 02 010 02 2100 110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1 05 02 010 02 3000 110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1 05 03 010 01 0000 110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Единый сельскохозяйственный налог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1 05 03 010 01 1000 110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182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1 05 03 010 01 2100 110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 xml:space="preserve">Единый сельскохозяйственный налог (пени по соответствующему платежу) 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182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1 06 01 030 10 1000 110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182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1 06 01 030 10 2100 110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lastRenderedPageBreak/>
              <w:t>182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1 06 06 033 10 1000 110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182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1 06 06 033 10 2100 110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182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1 06 06 043 10 1000 110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182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1 06 06 043 10 2100 110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  <w:tr w:rsidR="00EE621F" w:rsidTr="00EE621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Федеральное казначейство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100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1 03 02 231 01 0000 110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100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1 03 02 241 01 0000 110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100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pStyle w:val="Default"/>
            </w:pPr>
            <w:r>
              <w:t>1 03 02 251 01 0000 110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EE621F" w:rsidTr="00EE621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1 03 02 261 01 0000 110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EE621F" w:rsidRDefault="00EE621F" w:rsidP="00EE621F">
      <w:pPr>
        <w:spacing w:after="0"/>
        <w:rPr>
          <w:rFonts w:ascii="Times New Roman" w:hAnsi="Times New Roman"/>
          <w:sz w:val="24"/>
          <w:szCs w:val="24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E621F" w:rsidRDefault="00EE621F" w:rsidP="00EE621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  </w:t>
      </w:r>
    </w:p>
    <w:p w:rsidR="00EE621F" w:rsidRDefault="00EE621F" w:rsidP="00EE621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Надеждинский сельсовет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31.01.2022 г. № 6-п</w:t>
      </w:r>
    </w:p>
    <w:p w:rsidR="00EE621F" w:rsidRDefault="00EE621F" w:rsidP="00EE621F">
      <w:pPr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5765"/>
      <w:bookmarkEnd w:id="1"/>
      <w:r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местного бюджета</w:t>
      </w:r>
    </w:p>
    <w:p w:rsidR="00EE621F" w:rsidRDefault="00EE621F" w:rsidP="00EE62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3592"/>
        <w:gridCol w:w="5053"/>
      </w:tblGrid>
      <w:tr w:rsidR="00EE621F" w:rsidTr="00EE621F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сельсовета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EE621F" w:rsidTr="00EE621F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1F" w:rsidRDefault="00EE62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EE621F" w:rsidRDefault="00EE621F" w:rsidP="00EE621F">
      <w:pPr>
        <w:spacing w:after="0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pStyle w:val="a4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rPr>
          <w:rFonts w:ascii="Times New Roman" w:hAnsi="Times New Roman"/>
          <w:sz w:val="28"/>
          <w:szCs w:val="28"/>
        </w:rPr>
      </w:pPr>
    </w:p>
    <w:p w:rsidR="00EE621F" w:rsidRDefault="00EE621F" w:rsidP="00EE621F">
      <w:pPr>
        <w:spacing w:after="0"/>
        <w:rPr>
          <w:rFonts w:ascii="Times New Roman" w:hAnsi="Times New Roman"/>
          <w:sz w:val="28"/>
          <w:szCs w:val="28"/>
        </w:rPr>
      </w:pPr>
    </w:p>
    <w:p w:rsidR="0027013E" w:rsidRDefault="0027013E"/>
    <w:sectPr w:rsidR="0027013E" w:rsidSect="0027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21F"/>
    <w:rsid w:val="0027013E"/>
    <w:rsid w:val="00AB669E"/>
    <w:rsid w:val="00E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E621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2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EE621F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EE621F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paragraph" w:styleId="a5">
    <w:name w:val="header"/>
    <w:basedOn w:val="a"/>
    <w:link w:val="1"/>
    <w:semiHidden/>
    <w:unhideWhenUsed/>
    <w:rsid w:val="00EE62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621F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E621F"/>
    <w:rPr>
      <w:rFonts w:ascii="Times New Roman" w:eastAsia="Times New Roman" w:hAnsi="Times New Roman" w:cs="Calibri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EE621F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  <w:lang w:eastAsia="en-US"/>
    </w:rPr>
  </w:style>
  <w:style w:type="paragraph" w:customStyle="1" w:styleId="Default">
    <w:name w:val="Default"/>
    <w:rsid w:val="00EE62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">
    <w:name w:val="Верхний колонтитул Знак1"/>
    <w:basedOn w:val="a0"/>
    <w:link w:val="a5"/>
    <w:semiHidden/>
    <w:locked/>
    <w:rsid w:val="00EE621F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EE62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2022-02-15T04:24:00Z</dcterms:created>
  <dcterms:modified xsi:type="dcterms:W3CDTF">2022-02-15T04:24:00Z</dcterms:modified>
</cp:coreProperties>
</file>